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386" w:rsidRPr="00E035A5" w:rsidRDefault="00A27386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E035A5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971DA9" w:rsidRPr="00E035A5" w:rsidRDefault="00971DA9" w:rsidP="00971DA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971DA9" w:rsidRPr="00E035A5" w:rsidRDefault="00971DA9" w:rsidP="00971DA9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E035A5">
        <w:rPr>
          <w:rFonts w:ascii="IRBadr" w:hAnsi="IRBadr" w:cs="IRBadr"/>
          <w:sz w:val="28"/>
          <w:rtl/>
        </w:rPr>
        <w:fldChar w:fldCharType="begin"/>
      </w:r>
      <w:r w:rsidRPr="00E035A5">
        <w:rPr>
          <w:rFonts w:ascii="IRBadr" w:hAnsi="IRBadr" w:cs="IRBadr"/>
          <w:sz w:val="28"/>
          <w:rtl/>
        </w:rPr>
        <w:instrText xml:space="preserve"> </w:instrText>
      </w:r>
      <w:r w:rsidRPr="00E035A5">
        <w:rPr>
          <w:rFonts w:ascii="IRBadr" w:hAnsi="IRBadr" w:cs="IRBadr"/>
          <w:sz w:val="28"/>
        </w:rPr>
        <w:instrText>TOC</w:instrText>
      </w:r>
      <w:r w:rsidRPr="00E035A5">
        <w:rPr>
          <w:rFonts w:ascii="IRBadr" w:hAnsi="IRBadr" w:cs="IRBadr"/>
          <w:sz w:val="28"/>
          <w:rtl/>
        </w:rPr>
        <w:instrText xml:space="preserve"> \</w:instrText>
      </w:r>
      <w:r w:rsidRPr="00E035A5">
        <w:rPr>
          <w:rFonts w:ascii="IRBadr" w:hAnsi="IRBadr" w:cs="IRBadr"/>
          <w:sz w:val="28"/>
        </w:rPr>
        <w:instrText>o "</w:instrText>
      </w:r>
      <w:r w:rsidRPr="00E035A5">
        <w:rPr>
          <w:rFonts w:ascii="IRBadr" w:hAnsi="IRBadr" w:cs="IRBadr"/>
          <w:sz w:val="28"/>
          <w:rtl/>
        </w:rPr>
        <w:instrText>1-4</w:instrText>
      </w:r>
      <w:r w:rsidRPr="00E035A5">
        <w:rPr>
          <w:rFonts w:ascii="IRBadr" w:hAnsi="IRBadr" w:cs="IRBadr"/>
          <w:sz w:val="28"/>
        </w:rPr>
        <w:instrText>" \h \z \u</w:instrText>
      </w:r>
      <w:r w:rsidRPr="00E035A5">
        <w:rPr>
          <w:rFonts w:ascii="IRBadr" w:hAnsi="IRBadr" w:cs="IRBadr"/>
          <w:sz w:val="28"/>
          <w:rtl/>
        </w:rPr>
        <w:instrText xml:space="preserve"> </w:instrText>
      </w:r>
      <w:r w:rsidRPr="00E035A5">
        <w:rPr>
          <w:rFonts w:ascii="IRBadr" w:hAnsi="IRBadr" w:cs="IRBadr"/>
          <w:sz w:val="28"/>
          <w:rtl/>
        </w:rPr>
        <w:fldChar w:fldCharType="separate"/>
      </w:r>
      <w:hyperlink w:anchor="_Toc426570919" w:history="1">
        <w:r w:rsidRPr="00E035A5">
          <w:rPr>
            <w:rStyle w:val="Hyperlink"/>
            <w:rFonts w:ascii="IRBadr" w:hAnsi="IRBadr" w:cs="IRBadr"/>
            <w:noProof/>
            <w:rtl/>
          </w:rPr>
          <w:t>سب النبی (ص)</w:t>
        </w:r>
        <w:r w:rsidRPr="00E035A5">
          <w:rPr>
            <w:rFonts w:ascii="IRBadr" w:hAnsi="IRBadr" w:cs="IRBadr"/>
            <w:noProof/>
            <w:webHidden/>
          </w:rPr>
          <w:tab/>
        </w:r>
        <w:r w:rsidRPr="00E035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E035A5">
          <w:rPr>
            <w:rFonts w:ascii="IRBadr" w:hAnsi="IRBadr" w:cs="IRBadr"/>
            <w:noProof/>
            <w:webHidden/>
          </w:rPr>
          <w:instrText xml:space="preserve"> PAGEREF _Toc426570919 \h </w:instrText>
        </w:r>
        <w:r w:rsidRPr="00E035A5">
          <w:rPr>
            <w:rStyle w:val="Hyperlink"/>
            <w:rFonts w:ascii="IRBadr" w:hAnsi="IRBadr" w:cs="IRBadr"/>
            <w:noProof/>
            <w:rtl/>
          </w:rPr>
        </w:r>
        <w:r w:rsidRPr="00E035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E035A5">
          <w:rPr>
            <w:rFonts w:ascii="IRBadr" w:hAnsi="IRBadr" w:cs="IRBadr"/>
            <w:noProof/>
            <w:webHidden/>
          </w:rPr>
          <w:t>1</w:t>
        </w:r>
        <w:r w:rsidRPr="00E035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1DA9" w:rsidRPr="00E035A5" w:rsidRDefault="00345C3D" w:rsidP="00971DA9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20" w:history="1">
        <w:r w:rsidR="00971DA9" w:rsidRPr="00E035A5">
          <w:rPr>
            <w:rStyle w:val="Hyperlink"/>
            <w:rFonts w:ascii="IRBadr" w:hAnsi="IRBadr" w:cs="IRBadr"/>
            <w:noProof/>
            <w:rtl/>
          </w:rPr>
          <w:t>مرور بحث سابق</w:t>
        </w:r>
        <w:r w:rsidR="00971DA9" w:rsidRPr="00E035A5">
          <w:rPr>
            <w:rFonts w:ascii="IRBadr" w:hAnsi="IRBadr" w:cs="IRBadr"/>
            <w:noProof/>
            <w:webHidden/>
          </w:rPr>
          <w:tab/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1DA9" w:rsidRPr="00E035A5">
          <w:rPr>
            <w:rFonts w:ascii="IRBadr" w:hAnsi="IRBadr" w:cs="IRBadr"/>
            <w:noProof/>
            <w:webHidden/>
          </w:rPr>
          <w:instrText xml:space="preserve"> PAGEREF _Toc426570920 \h </w:instrText>
        </w:r>
        <w:r w:rsidR="00971DA9" w:rsidRPr="00E035A5">
          <w:rPr>
            <w:rStyle w:val="Hyperlink"/>
            <w:rFonts w:ascii="IRBadr" w:hAnsi="IRBadr" w:cs="IRBadr"/>
            <w:noProof/>
            <w:rtl/>
          </w:rPr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1DA9" w:rsidRPr="00E035A5">
          <w:rPr>
            <w:rFonts w:ascii="IRBadr" w:hAnsi="IRBadr" w:cs="IRBadr"/>
            <w:noProof/>
            <w:webHidden/>
          </w:rPr>
          <w:t>1</w:t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1DA9" w:rsidRPr="00E035A5" w:rsidRDefault="00345C3D" w:rsidP="00971DA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21" w:history="1">
        <w:r w:rsidR="00971DA9" w:rsidRPr="00E035A5">
          <w:rPr>
            <w:rStyle w:val="Hyperlink"/>
            <w:rFonts w:ascii="IRBadr" w:hAnsi="IRBadr" w:cs="IRBadr"/>
            <w:noProof/>
            <w:rtl/>
          </w:rPr>
          <w:t>قاعده تقیه</w:t>
        </w:r>
        <w:r w:rsidR="00971DA9" w:rsidRPr="00E035A5">
          <w:rPr>
            <w:rFonts w:ascii="IRBadr" w:hAnsi="IRBadr" w:cs="IRBadr"/>
            <w:noProof/>
            <w:webHidden/>
          </w:rPr>
          <w:tab/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1DA9" w:rsidRPr="00E035A5">
          <w:rPr>
            <w:rFonts w:ascii="IRBadr" w:hAnsi="IRBadr" w:cs="IRBadr"/>
            <w:noProof/>
            <w:webHidden/>
          </w:rPr>
          <w:instrText xml:space="preserve"> PAGEREF _Toc426570921 \h </w:instrText>
        </w:r>
        <w:r w:rsidR="00971DA9" w:rsidRPr="00E035A5">
          <w:rPr>
            <w:rStyle w:val="Hyperlink"/>
            <w:rFonts w:ascii="IRBadr" w:hAnsi="IRBadr" w:cs="IRBadr"/>
            <w:noProof/>
            <w:rtl/>
          </w:rPr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1DA9" w:rsidRPr="00E035A5">
          <w:rPr>
            <w:rFonts w:ascii="IRBadr" w:hAnsi="IRBadr" w:cs="IRBadr"/>
            <w:noProof/>
            <w:webHidden/>
          </w:rPr>
          <w:t>2</w:t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1DA9" w:rsidRPr="00E035A5" w:rsidRDefault="00345C3D" w:rsidP="00971DA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22" w:history="1">
        <w:r w:rsidR="00971DA9" w:rsidRPr="00E035A5">
          <w:rPr>
            <w:rStyle w:val="Hyperlink"/>
            <w:rFonts w:ascii="IRBadr" w:hAnsi="IRBadr" w:cs="IRBadr"/>
            <w:noProof/>
            <w:rtl/>
          </w:rPr>
          <w:t>آیات تقیه</w:t>
        </w:r>
        <w:r w:rsidR="00971DA9" w:rsidRPr="00E035A5">
          <w:rPr>
            <w:rFonts w:ascii="IRBadr" w:hAnsi="IRBadr" w:cs="IRBadr"/>
            <w:noProof/>
            <w:webHidden/>
          </w:rPr>
          <w:tab/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1DA9" w:rsidRPr="00E035A5">
          <w:rPr>
            <w:rFonts w:ascii="IRBadr" w:hAnsi="IRBadr" w:cs="IRBadr"/>
            <w:noProof/>
            <w:webHidden/>
          </w:rPr>
          <w:instrText xml:space="preserve"> PAGEREF _Toc426570922 \h </w:instrText>
        </w:r>
        <w:r w:rsidR="00971DA9" w:rsidRPr="00E035A5">
          <w:rPr>
            <w:rStyle w:val="Hyperlink"/>
            <w:rFonts w:ascii="IRBadr" w:hAnsi="IRBadr" w:cs="IRBadr"/>
            <w:noProof/>
            <w:rtl/>
          </w:rPr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1DA9" w:rsidRPr="00E035A5">
          <w:rPr>
            <w:rFonts w:ascii="IRBadr" w:hAnsi="IRBadr" w:cs="IRBadr"/>
            <w:noProof/>
            <w:webHidden/>
          </w:rPr>
          <w:t>2</w:t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1DA9" w:rsidRPr="00E035A5" w:rsidRDefault="00345C3D" w:rsidP="00971DA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23" w:history="1">
        <w:r w:rsidR="00971DA9" w:rsidRPr="00E035A5">
          <w:rPr>
            <w:rStyle w:val="Hyperlink"/>
            <w:rFonts w:ascii="IRBadr" w:hAnsi="IRBadr" w:cs="IRBadr"/>
            <w:noProof/>
            <w:rtl/>
          </w:rPr>
          <w:t>روایات تقیه</w:t>
        </w:r>
        <w:r w:rsidR="00971DA9" w:rsidRPr="00E035A5">
          <w:rPr>
            <w:rFonts w:ascii="IRBadr" w:hAnsi="IRBadr" w:cs="IRBadr"/>
            <w:noProof/>
            <w:webHidden/>
          </w:rPr>
          <w:tab/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1DA9" w:rsidRPr="00E035A5">
          <w:rPr>
            <w:rFonts w:ascii="IRBadr" w:hAnsi="IRBadr" w:cs="IRBadr"/>
            <w:noProof/>
            <w:webHidden/>
          </w:rPr>
          <w:instrText xml:space="preserve"> PAGEREF _Toc426570923 \h </w:instrText>
        </w:r>
        <w:r w:rsidR="00971DA9" w:rsidRPr="00E035A5">
          <w:rPr>
            <w:rStyle w:val="Hyperlink"/>
            <w:rFonts w:ascii="IRBadr" w:hAnsi="IRBadr" w:cs="IRBadr"/>
            <w:noProof/>
            <w:rtl/>
          </w:rPr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1DA9" w:rsidRPr="00E035A5">
          <w:rPr>
            <w:rFonts w:ascii="IRBadr" w:hAnsi="IRBadr" w:cs="IRBadr"/>
            <w:noProof/>
            <w:webHidden/>
          </w:rPr>
          <w:t>2</w:t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1DA9" w:rsidRPr="00E035A5" w:rsidRDefault="00345C3D" w:rsidP="00971DA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24" w:history="1">
        <w:r w:rsidR="00971DA9" w:rsidRPr="00E035A5">
          <w:rPr>
            <w:rStyle w:val="Hyperlink"/>
            <w:rFonts w:ascii="IRBadr" w:hAnsi="IRBadr" w:cs="IRBadr"/>
            <w:noProof/>
            <w:rtl/>
          </w:rPr>
          <w:t>روایت اول</w:t>
        </w:r>
        <w:r w:rsidR="00971DA9" w:rsidRPr="00E035A5">
          <w:rPr>
            <w:rFonts w:ascii="IRBadr" w:hAnsi="IRBadr" w:cs="IRBadr"/>
            <w:noProof/>
            <w:webHidden/>
          </w:rPr>
          <w:tab/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1DA9" w:rsidRPr="00E035A5">
          <w:rPr>
            <w:rFonts w:ascii="IRBadr" w:hAnsi="IRBadr" w:cs="IRBadr"/>
            <w:noProof/>
            <w:webHidden/>
          </w:rPr>
          <w:instrText xml:space="preserve"> PAGEREF _Toc426570924 \h </w:instrText>
        </w:r>
        <w:r w:rsidR="00971DA9" w:rsidRPr="00E035A5">
          <w:rPr>
            <w:rStyle w:val="Hyperlink"/>
            <w:rFonts w:ascii="IRBadr" w:hAnsi="IRBadr" w:cs="IRBadr"/>
            <w:noProof/>
            <w:rtl/>
          </w:rPr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1DA9" w:rsidRPr="00E035A5">
          <w:rPr>
            <w:rFonts w:ascii="IRBadr" w:hAnsi="IRBadr" w:cs="IRBadr"/>
            <w:noProof/>
            <w:webHidden/>
          </w:rPr>
          <w:t>3</w:t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1DA9" w:rsidRPr="00E035A5" w:rsidRDefault="00345C3D" w:rsidP="00971DA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25" w:history="1">
        <w:r w:rsidR="00971DA9" w:rsidRPr="00E035A5">
          <w:rPr>
            <w:rStyle w:val="Hyperlink"/>
            <w:rFonts w:ascii="IRBadr" w:hAnsi="IRBadr" w:cs="IRBadr"/>
            <w:noProof/>
            <w:rtl/>
          </w:rPr>
          <w:t>روایت دوم</w:t>
        </w:r>
        <w:r w:rsidR="00971DA9" w:rsidRPr="00E035A5">
          <w:rPr>
            <w:rFonts w:ascii="IRBadr" w:hAnsi="IRBadr" w:cs="IRBadr"/>
            <w:noProof/>
            <w:webHidden/>
          </w:rPr>
          <w:tab/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1DA9" w:rsidRPr="00E035A5">
          <w:rPr>
            <w:rFonts w:ascii="IRBadr" w:hAnsi="IRBadr" w:cs="IRBadr"/>
            <w:noProof/>
            <w:webHidden/>
          </w:rPr>
          <w:instrText xml:space="preserve"> PAGEREF _Toc426570925 \h </w:instrText>
        </w:r>
        <w:r w:rsidR="00971DA9" w:rsidRPr="00E035A5">
          <w:rPr>
            <w:rStyle w:val="Hyperlink"/>
            <w:rFonts w:ascii="IRBadr" w:hAnsi="IRBadr" w:cs="IRBadr"/>
            <w:noProof/>
            <w:rtl/>
          </w:rPr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1DA9" w:rsidRPr="00E035A5">
          <w:rPr>
            <w:rFonts w:ascii="IRBadr" w:hAnsi="IRBadr" w:cs="IRBadr"/>
            <w:noProof/>
            <w:webHidden/>
          </w:rPr>
          <w:t>3</w:t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1DA9" w:rsidRPr="00E035A5" w:rsidRDefault="00345C3D" w:rsidP="00971DA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26" w:history="1">
        <w:r w:rsidR="00971DA9" w:rsidRPr="00E035A5">
          <w:rPr>
            <w:rStyle w:val="Hyperlink"/>
            <w:rFonts w:ascii="IRBadr" w:hAnsi="IRBadr" w:cs="IRBadr"/>
            <w:noProof/>
            <w:rtl/>
          </w:rPr>
          <w:t>روایت سوم</w:t>
        </w:r>
        <w:r w:rsidR="00971DA9" w:rsidRPr="00E035A5">
          <w:rPr>
            <w:rFonts w:ascii="IRBadr" w:hAnsi="IRBadr" w:cs="IRBadr"/>
            <w:noProof/>
            <w:webHidden/>
          </w:rPr>
          <w:tab/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1DA9" w:rsidRPr="00E035A5">
          <w:rPr>
            <w:rFonts w:ascii="IRBadr" w:hAnsi="IRBadr" w:cs="IRBadr"/>
            <w:noProof/>
            <w:webHidden/>
          </w:rPr>
          <w:instrText xml:space="preserve"> PAGEREF _Toc426570926 \h </w:instrText>
        </w:r>
        <w:r w:rsidR="00971DA9" w:rsidRPr="00E035A5">
          <w:rPr>
            <w:rStyle w:val="Hyperlink"/>
            <w:rFonts w:ascii="IRBadr" w:hAnsi="IRBadr" w:cs="IRBadr"/>
            <w:noProof/>
            <w:rtl/>
          </w:rPr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1DA9" w:rsidRPr="00E035A5">
          <w:rPr>
            <w:rFonts w:ascii="IRBadr" w:hAnsi="IRBadr" w:cs="IRBadr"/>
            <w:noProof/>
            <w:webHidden/>
          </w:rPr>
          <w:t>3</w:t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1DA9" w:rsidRPr="00E035A5" w:rsidRDefault="00345C3D" w:rsidP="00971DA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27" w:history="1">
        <w:r w:rsidR="00971DA9" w:rsidRPr="00E035A5">
          <w:rPr>
            <w:rStyle w:val="Hyperlink"/>
            <w:rFonts w:ascii="IRBadr" w:hAnsi="IRBadr" w:cs="IRBadr"/>
            <w:noProof/>
            <w:rtl/>
          </w:rPr>
          <w:t>انواع تقیه</w:t>
        </w:r>
        <w:r w:rsidR="00971DA9" w:rsidRPr="00E035A5">
          <w:rPr>
            <w:rFonts w:ascii="IRBadr" w:hAnsi="IRBadr" w:cs="IRBadr"/>
            <w:noProof/>
            <w:webHidden/>
          </w:rPr>
          <w:tab/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1DA9" w:rsidRPr="00E035A5">
          <w:rPr>
            <w:rFonts w:ascii="IRBadr" w:hAnsi="IRBadr" w:cs="IRBadr"/>
            <w:noProof/>
            <w:webHidden/>
          </w:rPr>
          <w:instrText xml:space="preserve"> PAGEREF _Toc426570927 \h </w:instrText>
        </w:r>
        <w:r w:rsidR="00971DA9" w:rsidRPr="00E035A5">
          <w:rPr>
            <w:rStyle w:val="Hyperlink"/>
            <w:rFonts w:ascii="IRBadr" w:hAnsi="IRBadr" w:cs="IRBadr"/>
            <w:noProof/>
            <w:rtl/>
          </w:rPr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1DA9" w:rsidRPr="00E035A5">
          <w:rPr>
            <w:rFonts w:ascii="IRBadr" w:hAnsi="IRBadr" w:cs="IRBadr"/>
            <w:noProof/>
            <w:webHidden/>
          </w:rPr>
          <w:t>3</w:t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1DA9" w:rsidRPr="00E035A5" w:rsidRDefault="00345C3D" w:rsidP="00971DA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28" w:history="1">
        <w:r w:rsidR="00971DA9" w:rsidRPr="00E035A5">
          <w:rPr>
            <w:rStyle w:val="Hyperlink"/>
            <w:rFonts w:ascii="IRBadr" w:hAnsi="IRBadr" w:cs="IRBadr"/>
            <w:noProof/>
            <w:rtl/>
          </w:rPr>
          <w:t>تقیه خوفی و تقیه مداراتی</w:t>
        </w:r>
        <w:r w:rsidR="00971DA9" w:rsidRPr="00E035A5">
          <w:rPr>
            <w:rFonts w:ascii="IRBadr" w:hAnsi="IRBadr" w:cs="IRBadr"/>
            <w:noProof/>
            <w:webHidden/>
          </w:rPr>
          <w:tab/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1DA9" w:rsidRPr="00E035A5">
          <w:rPr>
            <w:rFonts w:ascii="IRBadr" w:hAnsi="IRBadr" w:cs="IRBadr"/>
            <w:noProof/>
            <w:webHidden/>
          </w:rPr>
          <w:instrText xml:space="preserve"> PAGEREF _Toc426570928 \h </w:instrText>
        </w:r>
        <w:r w:rsidR="00971DA9" w:rsidRPr="00E035A5">
          <w:rPr>
            <w:rStyle w:val="Hyperlink"/>
            <w:rFonts w:ascii="IRBadr" w:hAnsi="IRBadr" w:cs="IRBadr"/>
            <w:noProof/>
            <w:rtl/>
          </w:rPr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1DA9" w:rsidRPr="00E035A5">
          <w:rPr>
            <w:rFonts w:ascii="IRBadr" w:hAnsi="IRBadr" w:cs="IRBadr"/>
            <w:noProof/>
            <w:webHidden/>
          </w:rPr>
          <w:t>4</w:t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1DA9" w:rsidRPr="00E035A5" w:rsidRDefault="00345C3D" w:rsidP="00971DA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29" w:history="1">
        <w:r w:rsidR="00971DA9" w:rsidRPr="00E035A5">
          <w:rPr>
            <w:rStyle w:val="Hyperlink"/>
            <w:rFonts w:ascii="IRBadr" w:hAnsi="IRBadr" w:cs="IRBadr"/>
            <w:noProof/>
            <w:rtl/>
          </w:rPr>
          <w:t>وجوب یا جواز تقیه</w:t>
        </w:r>
        <w:r w:rsidR="00971DA9" w:rsidRPr="00E035A5">
          <w:rPr>
            <w:rFonts w:ascii="IRBadr" w:hAnsi="IRBadr" w:cs="IRBadr"/>
            <w:noProof/>
            <w:webHidden/>
          </w:rPr>
          <w:tab/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1DA9" w:rsidRPr="00E035A5">
          <w:rPr>
            <w:rFonts w:ascii="IRBadr" w:hAnsi="IRBadr" w:cs="IRBadr"/>
            <w:noProof/>
            <w:webHidden/>
          </w:rPr>
          <w:instrText xml:space="preserve"> PAGEREF _Toc426570929 \h </w:instrText>
        </w:r>
        <w:r w:rsidR="00971DA9" w:rsidRPr="00E035A5">
          <w:rPr>
            <w:rStyle w:val="Hyperlink"/>
            <w:rFonts w:ascii="IRBadr" w:hAnsi="IRBadr" w:cs="IRBadr"/>
            <w:noProof/>
            <w:rtl/>
          </w:rPr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1DA9" w:rsidRPr="00E035A5">
          <w:rPr>
            <w:rFonts w:ascii="IRBadr" w:hAnsi="IRBadr" w:cs="IRBadr"/>
            <w:noProof/>
            <w:webHidden/>
          </w:rPr>
          <w:t>4</w:t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1DA9" w:rsidRPr="00E035A5" w:rsidRDefault="00345C3D" w:rsidP="00971DA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30" w:history="1">
        <w:r w:rsidR="00971DA9" w:rsidRPr="00E035A5">
          <w:rPr>
            <w:rStyle w:val="Hyperlink"/>
            <w:rFonts w:ascii="IRBadr" w:hAnsi="IRBadr" w:cs="IRBadr"/>
            <w:noProof/>
            <w:rtl/>
          </w:rPr>
          <w:t>تقیه و احکام خمسه</w:t>
        </w:r>
        <w:r w:rsidR="00971DA9" w:rsidRPr="00E035A5">
          <w:rPr>
            <w:rFonts w:ascii="IRBadr" w:hAnsi="IRBadr" w:cs="IRBadr"/>
            <w:noProof/>
            <w:webHidden/>
          </w:rPr>
          <w:tab/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1DA9" w:rsidRPr="00E035A5">
          <w:rPr>
            <w:rFonts w:ascii="IRBadr" w:hAnsi="IRBadr" w:cs="IRBadr"/>
            <w:noProof/>
            <w:webHidden/>
          </w:rPr>
          <w:instrText xml:space="preserve"> PAGEREF _Toc426570930 \h </w:instrText>
        </w:r>
        <w:r w:rsidR="00971DA9" w:rsidRPr="00E035A5">
          <w:rPr>
            <w:rStyle w:val="Hyperlink"/>
            <w:rFonts w:ascii="IRBadr" w:hAnsi="IRBadr" w:cs="IRBadr"/>
            <w:noProof/>
            <w:rtl/>
          </w:rPr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1DA9" w:rsidRPr="00E035A5">
          <w:rPr>
            <w:rFonts w:ascii="IRBadr" w:hAnsi="IRBadr" w:cs="IRBadr"/>
            <w:noProof/>
            <w:webHidden/>
          </w:rPr>
          <w:t>4</w:t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1DA9" w:rsidRPr="00E035A5" w:rsidRDefault="00345C3D" w:rsidP="00971DA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31" w:history="1">
        <w:r w:rsidR="00971DA9" w:rsidRPr="00E035A5">
          <w:rPr>
            <w:rStyle w:val="Hyperlink"/>
            <w:rFonts w:ascii="IRBadr" w:hAnsi="IRBadr" w:cs="IRBadr"/>
            <w:noProof/>
            <w:rtl/>
          </w:rPr>
          <w:t>تقیه در کلمات علما</w:t>
        </w:r>
        <w:r w:rsidR="00971DA9" w:rsidRPr="00E035A5">
          <w:rPr>
            <w:rFonts w:ascii="IRBadr" w:hAnsi="IRBadr" w:cs="IRBadr"/>
            <w:noProof/>
            <w:webHidden/>
          </w:rPr>
          <w:tab/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1DA9" w:rsidRPr="00E035A5">
          <w:rPr>
            <w:rFonts w:ascii="IRBadr" w:hAnsi="IRBadr" w:cs="IRBadr"/>
            <w:noProof/>
            <w:webHidden/>
          </w:rPr>
          <w:instrText xml:space="preserve"> PAGEREF _Toc426570931 \h </w:instrText>
        </w:r>
        <w:r w:rsidR="00971DA9" w:rsidRPr="00E035A5">
          <w:rPr>
            <w:rStyle w:val="Hyperlink"/>
            <w:rFonts w:ascii="IRBadr" w:hAnsi="IRBadr" w:cs="IRBadr"/>
            <w:noProof/>
            <w:rtl/>
          </w:rPr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1DA9" w:rsidRPr="00E035A5">
          <w:rPr>
            <w:rFonts w:ascii="IRBadr" w:hAnsi="IRBadr" w:cs="IRBadr"/>
            <w:noProof/>
            <w:webHidden/>
          </w:rPr>
          <w:t>5</w:t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1DA9" w:rsidRPr="00E035A5" w:rsidRDefault="00345C3D" w:rsidP="00971DA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570932" w:history="1">
        <w:r w:rsidR="00971DA9" w:rsidRPr="00E035A5">
          <w:rPr>
            <w:rStyle w:val="Hyperlink"/>
            <w:rFonts w:ascii="IRBadr" w:hAnsi="IRBadr" w:cs="IRBadr"/>
            <w:noProof/>
            <w:rtl/>
          </w:rPr>
          <w:t>خوف خطر دیگری</w:t>
        </w:r>
        <w:r w:rsidR="00971DA9" w:rsidRPr="00E035A5">
          <w:rPr>
            <w:rFonts w:ascii="IRBadr" w:hAnsi="IRBadr" w:cs="IRBadr"/>
            <w:noProof/>
            <w:webHidden/>
          </w:rPr>
          <w:tab/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1DA9" w:rsidRPr="00E035A5">
          <w:rPr>
            <w:rFonts w:ascii="IRBadr" w:hAnsi="IRBadr" w:cs="IRBadr"/>
            <w:noProof/>
            <w:webHidden/>
          </w:rPr>
          <w:instrText xml:space="preserve"> PAGEREF _Toc426570932 \h </w:instrText>
        </w:r>
        <w:r w:rsidR="00971DA9" w:rsidRPr="00E035A5">
          <w:rPr>
            <w:rStyle w:val="Hyperlink"/>
            <w:rFonts w:ascii="IRBadr" w:hAnsi="IRBadr" w:cs="IRBadr"/>
            <w:noProof/>
            <w:rtl/>
          </w:rPr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1DA9" w:rsidRPr="00E035A5">
          <w:rPr>
            <w:rFonts w:ascii="IRBadr" w:hAnsi="IRBadr" w:cs="IRBadr"/>
            <w:noProof/>
            <w:webHidden/>
          </w:rPr>
          <w:t>5</w:t>
        </w:r>
        <w:r w:rsidR="00971DA9" w:rsidRPr="00E035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1DA9" w:rsidRPr="00E035A5" w:rsidRDefault="00971DA9" w:rsidP="00971DA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E035A5" w:rsidRDefault="00E035A5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6570919"/>
      <w:r>
        <w:rPr>
          <w:rFonts w:ascii="IRBadr" w:hAnsi="IRBadr" w:cs="IRBadr"/>
          <w:rtl/>
        </w:rPr>
        <w:br w:type="page"/>
      </w:r>
    </w:p>
    <w:p w:rsidR="005B2C57" w:rsidRPr="00E035A5" w:rsidRDefault="005B2C57" w:rsidP="00FC4A1F">
      <w:pPr>
        <w:pStyle w:val="Heading1"/>
        <w:rPr>
          <w:rFonts w:ascii="IRBadr" w:hAnsi="IRBadr" w:cs="IRBadr"/>
          <w:rtl/>
        </w:rPr>
      </w:pPr>
      <w:r w:rsidRPr="00E035A5">
        <w:rPr>
          <w:rFonts w:ascii="IRBadr" w:hAnsi="IRBadr" w:cs="IRBadr"/>
          <w:rtl/>
        </w:rPr>
        <w:lastRenderedPageBreak/>
        <w:t xml:space="preserve">سب </w:t>
      </w:r>
      <w:r w:rsidR="00FC4A1F" w:rsidRPr="00E035A5">
        <w:rPr>
          <w:rFonts w:ascii="IRBadr" w:hAnsi="IRBadr" w:cs="IRBadr"/>
          <w:rtl/>
        </w:rPr>
        <w:t>النبی (</w:t>
      </w:r>
      <w:r w:rsidRPr="00E035A5">
        <w:rPr>
          <w:rFonts w:ascii="IRBadr" w:hAnsi="IRBadr" w:cs="IRBadr"/>
          <w:rtl/>
        </w:rPr>
        <w:t>ص)</w:t>
      </w:r>
      <w:bookmarkEnd w:id="1"/>
    </w:p>
    <w:p w:rsidR="005B2C57" w:rsidRPr="00E035A5" w:rsidRDefault="005B2C57" w:rsidP="00FC4A1F">
      <w:pPr>
        <w:pStyle w:val="Heading1"/>
        <w:rPr>
          <w:rFonts w:ascii="IRBadr" w:hAnsi="IRBadr" w:cs="IRBadr"/>
          <w:rtl/>
        </w:rPr>
      </w:pPr>
      <w:bookmarkStart w:id="2" w:name="_Toc426570920"/>
      <w:r w:rsidRPr="00E035A5">
        <w:rPr>
          <w:rFonts w:ascii="IRBadr" w:hAnsi="IRBadr" w:cs="IRBadr"/>
          <w:rtl/>
        </w:rPr>
        <w:t>مرور بحث سابق</w:t>
      </w:r>
      <w:bookmarkEnd w:id="2"/>
    </w:p>
    <w:p w:rsidR="00B8523A" w:rsidRPr="00E035A5" w:rsidRDefault="00B8523A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در این </w:t>
      </w:r>
      <w:r w:rsidR="00E035A5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فروعی مطرح شد،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بحث اطمینان و احتمال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خوف بود که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کدام‌یک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منجر به سقوط وجوب خواهد شد،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شش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صورت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خوف وجود داشت که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به‌تفصیل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در قبال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مباحثی مطرح گردید.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شد که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درخطر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افتادن مال و عرض به نحو خاص در روایات بدان پرداخته نشده است،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دراین‌بین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قواعدی عمومی وجود دارد که تکلیف را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مشخص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می‌سازد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>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قاعده نفی ضرر،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نفی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حرج و قاعده تقیه بود.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قاعده تقیه مباحثی زیادی را در خود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جای‌داده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است که تفصیل آن در 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 xml:space="preserve">جلد پنجم 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>از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 xml:space="preserve"> قواعد فقهیه مرحوم آقای بجنوردی صفحه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پنجاه‌وپنج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B8523A" w:rsidRPr="00E035A5" w:rsidRDefault="00B8523A" w:rsidP="00FC4A1F">
      <w:pPr>
        <w:pStyle w:val="Heading2"/>
        <w:rPr>
          <w:rFonts w:ascii="IRBadr" w:hAnsi="IRBadr" w:cs="IRBadr"/>
          <w:rtl/>
        </w:rPr>
      </w:pPr>
      <w:bookmarkStart w:id="3" w:name="_Toc426570921"/>
      <w:r w:rsidRPr="00E035A5">
        <w:rPr>
          <w:rFonts w:ascii="IRBadr" w:hAnsi="IRBadr" w:cs="IRBadr"/>
          <w:rtl/>
        </w:rPr>
        <w:t>قاعده تقیه</w:t>
      </w:r>
      <w:bookmarkEnd w:id="3"/>
    </w:p>
    <w:p w:rsidR="00B8523A" w:rsidRPr="00E035A5" w:rsidRDefault="00A27386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>روایاتی که دلالت بر این قاعده می‌کند در جلد یازدهم وسائل</w:t>
      </w:r>
      <w:r w:rsidR="00B8523A" w:rsidRPr="00E035A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ابواب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امربه‌معروف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و نهی از منکر باب بیست و چهارم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B8523A" w:rsidRPr="00E035A5">
        <w:rPr>
          <w:rFonts w:ascii="IRBadr" w:hAnsi="IRBadr" w:cs="IRBadr"/>
          <w:sz w:val="28"/>
          <w:szCs w:val="28"/>
          <w:rtl/>
          <w:lang w:bidi="fa-IR"/>
        </w:rPr>
        <w:t xml:space="preserve"> است. و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در قرآن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کریم </w:t>
      </w:r>
      <w:r w:rsidR="00B8523A" w:rsidRPr="00E035A5">
        <w:rPr>
          <w:rFonts w:ascii="IRBadr" w:hAnsi="IRBadr" w:cs="IRBadr"/>
          <w:sz w:val="28"/>
          <w:szCs w:val="28"/>
          <w:rtl/>
          <w:lang w:bidi="fa-IR"/>
        </w:rPr>
        <w:t xml:space="preserve">دو آیه در این زمینه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B8523A" w:rsidRPr="00E035A5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8523A" w:rsidRPr="00E035A5">
        <w:rPr>
          <w:rFonts w:ascii="IRBadr" w:hAnsi="IRBadr" w:cs="IRBadr"/>
          <w:sz w:val="28"/>
          <w:szCs w:val="28"/>
          <w:rtl/>
          <w:lang w:bidi="fa-IR"/>
        </w:rPr>
        <w:t xml:space="preserve">که یکی از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در سوره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آل‌عمران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8523A" w:rsidRPr="00E035A5">
        <w:rPr>
          <w:rFonts w:ascii="IRBadr" w:hAnsi="IRBadr" w:cs="IRBadr"/>
          <w:sz w:val="28"/>
          <w:szCs w:val="28"/>
          <w:rtl/>
          <w:lang w:bidi="fa-IR"/>
        </w:rPr>
        <w:t>و دیگری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در سوره نحل است.</w:t>
      </w:r>
    </w:p>
    <w:p w:rsidR="00B8523A" w:rsidRPr="00E035A5" w:rsidRDefault="00B8523A" w:rsidP="00FC4A1F">
      <w:pPr>
        <w:pStyle w:val="Heading2"/>
        <w:rPr>
          <w:rFonts w:ascii="IRBadr" w:hAnsi="IRBadr" w:cs="IRBadr"/>
          <w:rtl/>
        </w:rPr>
      </w:pPr>
      <w:bookmarkStart w:id="4" w:name="_Toc426570922"/>
      <w:r w:rsidRPr="00E035A5">
        <w:rPr>
          <w:rFonts w:ascii="IRBadr" w:hAnsi="IRBadr" w:cs="IRBadr"/>
          <w:rtl/>
        </w:rPr>
        <w:t>آیات تقیه</w:t>
      </w:r>
      <w:bookmarkEnd w:id="4"/>
    </w:p>
    <w:p w:rsidR="00B8523A" w:rsidRPr="00E035A5" w:rsidRDefault="00B8523A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اولین آیه که در سوره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آل‌عمران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BF65E7" w:rsidRPr="00E035A5" w:rsidRDefault="00BF65E7" w:rsidP="00FC4A1F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«لا </w:t>
      </w:r>
      <w:r w:rsidR="00FC4A1F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تَّخِذِ الْمُؤْمِنُونَ الْ</w:t>
      </w:r>
      <w:r w:rsidR="00FC4A1F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افِرِ</w:t>
      </w:r>
      <w:r w:rsidR="00FC4A1F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نَ أَوْلِ</w:t>
      </w:r>
      <w:r w:rsidR="00FC4A1F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اءَ مِنْ دُونِ الْمُؤْمِنِ</w:t>
      </w:r>
      <w:r w:rsidR="00FC4A1F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 وَ مَنْ </w:t>
      </w:r>
      <w:r w:rsidR="00FC4A1F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فْعَلْ ذلِ</w:t>
      </w:r>
      <w:r w:rsidR="00FC4A1F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فَلَ</w:t>
      </w:r>
      <w:r w:rsidR="00FC4A1F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سَ مِنَ اللَّهِ فِ</w:t>
      </w:r>
      <w:r w:rsidR="00FC4A1F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FC4A1F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شَی‌ء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» </w:t>
      </w:r>
      <w:r w:rsidRPr="00E035A5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B8523A" w:rsidRPr="00E035A5" w:rsidRDefault="00A27386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>کافران را دوست</w:t>
      </w:r>
      <w:r w:rsidR="00B8523A" w:rsidRPr="00E035A5">
        <w:rPr>
          <w:rFonts w:ascii="IRBadr" w:hAnsi="IRBadr" w:cs="IRBadr"/>
          <w:sz w:val="28"/>
          <w:szCs w:val="28"/>
          <w:rtl/>
          <w:lang w:bidi="fa-IR"/>
        </w:rPr>
        <w:t>ان خود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نگیرید مگر اینکه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تقیه‌ای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در کار باشد، مصلحت و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تقیه‌ای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در کار باشد.</w:t>
      </w:r>
    </w:p>
    <w:p w:rsidR="00B8523A" w:rsidRPr="00E035A5" w:rsidRDefault="00B8523A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آیه دوم نیز در سوره نحل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که مربوط به عمار یاسر و پدر و مادر ایشان است؛</w:t>
      </w:r>
    </w:p>
    <w:p w:rsidR="00BF65E7" w:rsidRPr="00E035A5" w:rsidRDefault="00FC4A1F" w:rsidP="00FC4A1F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BF65E7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مَنْ 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BF65E7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فَرَ بِاللَّهِ مِنْ بَعْدِ إِ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F65E7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مانِهِ إِلَّا مَنْ أُ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BF65E7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رِهَ وَ قَلْبُهُ مُطْمَئِنٌّ بِالْإِ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F65E7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مانِ وَ ل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BF65E7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نْ مَنْ شَرَحَ بِالْ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BF65E7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فْرِ صَدْراً فَعَلَ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F65E7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هِمْ غَضَبٌ مِنَ اللَّهِ وَ لَهُمْ عَذابٌ </w:t>
      </w:r>
      <w:r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عَظِیمٌ</w:t>
      </w:r>
      <w:r w:rsidR="00BF65E7" w:rsidRPr="00E035A5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="00BF65E7" w:rsidRPr="00E035A5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2"/>
      </w:r>
    </w:p>
    <w:p w:rsidR="00B8523A" w:rsidRPr="00E035A5" w:rsidRDefault="00BF65E7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lastRenderedPageBreak/>
        <w:t>.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B8523A" w:rsidRPr="00E035A5">
        <w:rPr>
          <w:rFonts w:ascii="IRBadr" w:hAnsi="IRBadr" w:cs="IRBadr"/>
          <w:sz w:val="28"/>
          <w:szCs w:val="28"/>
          <w:rtl/>
          <w:lang w:bidi="fa-IR"/>
        </w:rPr>
        <w:t xml:space="preserve"> که در روایات نیز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="00B8523A" w:rsidRPr="00E035A5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عمار</w:t>
      </w:r>
      <w:r w:rsidR="00B8523A" w:rsidRPr="00E035A5">
        <w:rPr>
          <w:rFonts w:ascii="IRBadr" w:hAnsi="IRBadr" w:cs="IRBadr"/>
          <w:sz w:val="28"/>
          <w:szCs w:val="28"/>
          <w:rtl/>
          <w:lang w:bidi="fa-IR"/>
        </w:rPr>
        <w:t xml:space="preserve"> زمانی که در آن تنگنا قرار گرفت،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تقیه</w:t>
      </w:r>
      <w:r w:rsidR="00B8523A" w:rsidRPr="00E035A5">
        <w:rPr>
          <w:rFonts w:ascii="IRBadr" w:hAnsi="IRBadr" w:cs="IRBadr"/>
          <w:sz w:val="28"/>
          <w:szCs w:val="28"/>
          <w:rtl/>
          <w:lang w:bidi="fa-IR"/>
        </w:rPr>
        <w:t xml:space="preserve"> نمود و قرآن کریم نیز فعل او را تصحیح نمود و آیه فوق در این قبال نازل شد.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6264E" w:rsidRPr="00E035A5">
        <w:rPr>
          <w:rFonts w:ascii="IRBadr" w:hAnsi="IRBadr" w:cs="IRBadr"/>
          <w:sz w:val="28"/>
          <w:szCs w:val="28"/>
          <w:rtl/>
          <w:lang w:bidi="fa-IR"/>
        </w:rPr>
        <w:t xml:space="preserve"> آیه فوق در صورت وجود اکراه تقیه جایز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شمرده‌شده</w:t>
      </w:r>
      <w:r w:rsidR="00A6264E" w:rsidRPr="00E035A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A6264E" w:rsidRPr="00E035A5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می‌دانید</w:t>
      </w:r>
      <w:r w:rsidR="00A6264E" w:rsidRPr="00E035A5">
        <w:rPr>
          <w:rFonts w:ascii="IRBadr" w:hAnsi="IRBadr" w:cs="IRBadr"/>
          <w:sz w:val="28"/>
          <w:szCs w:val="28"/>
          <w:rtl/>
          <w:lang w:bidi="fa-IR"/>
        </w:rPr>
        <w:t xml:space="preserve"> تقیه یکی از مختصات شیعه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به‌حساب</w:t>
      </w:r>
      <w:r w:rsidR="00A6264E"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A6264E" w:rsidRPr="00E035A5">
        <w:rPr>
          <w:rFonts w:ascii="IRBadr" w:hAnsi="IRBadr" w:cs="IRBadr"/>
          <w:sz w:val="28"/>
          <w:szCs w:val="28"/>
          <w:rtl/>
          <w:lang w:bidi="fa-IR"/>
        </w:rPr>
        <w:t xml:space="preserve"> و روایات در این زمینه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به‌وفور</w:t>
      </w:r>
      <w:r w:rsidR="00A6264E" w:rsidRPr="00E035A5">
        <w:rPr>
          <w:rFonts w:ascii="IRBadr" w:hAnsi="IRBadr" w:cs="IRBadr"/>
          <w:sz w:val="28"/>
          <w:szCs w:val="28"/>
          <w:rtl/>
          <w:lang w:bidi="fa-IR"/>
        </w:rPr>
        <w:t xml:space="preserve"> در وسائل </w:t>
      </w:r>
      <w:r w:rsidR="00E035A5">
        <w:rPr>
          <w:rFonts w:ascii="IRBadr" w:hAnsi="IRBadr" w:cs="IRBadr"/>
          <w:sz w:val="28"/>
          <w:szCs w:val="28"/>
          <w:rtl/>
          <w:lang w:bidi="fa-IR"/>
        </w:rPr>
        <w:t>ذکر</w:t>
      </w:r>
      <w:r w:rsidR="00A6264E" w:rsidRPr="00E035A5">
        <w:rPr>
          <w:rFonts w:ascii="IRBadr" w:hAnsi="IRBadr" w:cs="IRBadr"/>
          <w:sz w:val="28"/>
          <w:szCs w:val="28"/>
          <w:rtl/>
          <w:lang w:bidi="fa-IR"/>
        </w:rPr>
        <w:t xml:space="preserve"> شده است.</w:t>
      </w:r>
    </w:p>
    <w:p w:rsidR="00B8523A" w:rsidRPr="00E035A5" w:rsidRDefault="00A6264E" w:rsidP="00FC4A1F">
      <w:pPr>
        <w:pStyle w:val="Heading2"/>
        <w:rPr>
          <w:rFonts w:ascii="IRBadr" w:hAnsi="IRBadr" w:cs="IRBadr"/>
          <w:rtl/>
        </w:rPr>
      </w:pPr>
      <w:bookmarkStart w:id="5" w:name="_Toc426570923"/>
      <w:r w:rsidRPr="00E035A5">
        <w:rPr>
          <w:rFonts w:ascii="IRBadr" w:hAnsi="IRBadr" w:cs="IRBadr"/>
          <w:rtl/>
        </w:rPr>
        <w:t>روایات تقیه</w:t>
      </w:r>
      <w:bookmarkEnd w:id="5"/>
    </w:p>
    <w:p w:rsidR="00A6264E" w:rsidRPr="00E035A5" w:rsidRDefault="00A6264E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در این باب روایات متعددی نیز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است که برخی از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در اینجا ذکر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6264E" w:rsidRPr="00E035A5" w:rsidRDefault="00A6264E" w:rsidP="00FC4A1F">
      <w:pPr>
        <w:pStyle w:val="Heading2"/>
        <w:rPr>
          <w:rFonts w:ascii="IRBadr" w:hAnsi="IRBadr" w:cs="IRBadr"/>
          <w:rtl/>
        </w:rPr>
      </w:pPr>
      <w:bookmarkStart w:id="6" w:name="_Toc426570924"/>
      <w:r w:rsidRPr="00E035A5">
        <w:rPr>
          <w:rFonts w:ascii="IRBadr" w:hAnsi="IRBadr" w:cs="IRBadr"/>
          <w:rtl/>
        </w:rPr>
        <w:t>روایت اول</w:t>
      </w:r>
      <w:bookmarkEnd w:id="6"/>
    </w:p>
    <w:p w:rsidR="00BF65E7" w:rsidRPr="00E035A5" w:rsidRDefault="00BF65E7" w:rsidP="00FC4A1F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«ابْنُ أَبِ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عُمَ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عَنْ هِشَامِ بْنِ سَالِمٍ عَنْ أَبِ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عُمَرَ الْأَعْجَمِ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قَالَ قَالَ لِ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أَبُو عَبْدِ اللَّهِ ع 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أَبَا عُمَرَ إِنَّ تِسْعَةَ أَعْشَارِ الدِّ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فِ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التَّقِ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ةِ وَ لَا دِ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لِمَنْ لَا تَقِ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ةَ لَهُ وَ التَّقِ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ةُ فِ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لِّ شَ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‌ءٍ إِلَّا فِ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النَّبِ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ذِ وَ الْمَسْحِ عَلَ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الْخُفَّ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نِ.»</w:t>
      </w:r>
      <w:r w:rsidRPr="00E035A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BF65E7" w:rsidRPr="00E035A5" w:rsidRDefault="00BF65E7" w:rsidP="00FC4A1F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A6264E" w:rsidRPr="00E035A5" w:rsidRDefault="00A6264E" w:rsidP="00FC4A1F">
      <w:pPr>
        <w:pStyle w:val="Heading2"/>
        <w:rPr>
          <w:rFonts w:ascii="IRBadr" w:hAnsi="IRBadr" w:cs="IRBadr"/>
          <w:rtl/>
        </w:rPr>
      </w:pPr>
      <w:bookmarkStart w:id="7" w:name="_Toc426570925"/>
      <w:r w:rsidRPr="00E035A5">
        <w:rPr>
          <w:rFonts w:ascii="IRBadr" w:hAnsi="IRBadr" w:cs="IRBadr"/>
          <w:rtl/>
        </w:rPr>
        <w:t>روایت دوم</w:t>
      </w:r>
      <w:bookmarkEnd w:id="7"/>
    </w:p>
    <w:p w:rsidR="00BF65E7" w:rsidRPr="00E035A5" w:rsidRDefault="00BF65E7" w:rsidP="00FC4A1F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مُعَلَّ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إِنَّ التَّقِ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ةَ دِ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دَ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نُ آبَائِ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لَا دِ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لِمَنْ لَا تَقِ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ةَ لَهُ» </w:t>
      </w:r>
      <w:r w:rsidRPr="00E035A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A6264E" w:rsidRPr="00E035A5" w:rsidRDefault="00A6264E" w:rsidP="00FC4A1F">
      <w:pPr>
        <w:pStyle w:val="Heading2"/>
        <w:rPr>
          <w:rFonts w:ascii="IRBadr" w:hAnsi="IRBadr" w:cs="IRBadr"/>
          <w:rtl/>
        </w:rPr>
      </w:pPr>
      <w:bookmarkStart w:id="8" w:name="_Toc426570926"/>
      <w:r w:rsidRPr="00E035A5">
        <w:rPr>
          <w:rFonts w:ascii="IRBadr" w:hAnsi="IRBadr" w:cs="IRBadr"/>
          <w:rtl/>
        </w:rPr>
        <w:t>روایت سوم</w:t>
      </w:r>
      <w:bookmarkEnd w:id="8"/>
    </w:p>
    <w:p w:rsidR="00BF65E7" w:rsidRPr="00E035A5" w:rsidRDefault="00BF65E7" w:rsidP="00FC4A1F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مُحَمَّدِ بْنِ عِ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ونُسَ عَنِ ابْنِ مُسْ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عَنْ حَرِ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زٍ عَنْ أَبِ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 قَالَ: التَّقِ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ةُ تُرْسُ اللَّهِ بَ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نَهُ وَ بَ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خَلْقِهِ.»</w:t>
      </w:r>
      <w:r w:rsidRPr="00E035A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5"/>
      </w:r>
    </w:p>
    <w:p w:rsidR="00A6264E" w:rsidRPr="00E035A5" w:rsidRDefault="00A6264E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و تعابیر مختلف دیگری که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به‌وفور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در روایات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A6264E" w:rsidRPr="00E035A5" w:rsidRDefault="00A6264E" w:rsidP="00FC4A1F">
      <w:pPr>
        <w:pStyle w:val="Heading2"/>
        <w:rPr>
          <w:rFonts w:ascii="IRBadr" w:hAnsi="IRBadr" w:cs="IRBadr"/>
          <w:rtl/>
        </w:rPr>
      </w:pPr>
      <w:bookmarkStart w:id="9" w:name="_Toc426570927"/>
      <w:r w:rsidRPr="00E035A5">
        <w:rPr>
          <w:rFonts w:ascii="IRBadr" w:hAnsi="IRBadr" w:cs="IRBadr"/>
          <w:rtl/>
        </w:rPr>
        <w:lastRenderedPageBreak/>
        <w:t>انواع تقیه</w:t>
      </w:r>
      <w:bookmarkEnd w:id="9"/>
    </w:p>
    <w:p w:rsidR="00A6264E" w:rsidRPr="00E035A5" w:rsidRDefault="00A6264E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تقیه برخلاف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معمولاً تصور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بر 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 xml:space="preserve">دو نوع است. یک تقیه در برابر کفار و غیر سنی است.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 xml:space="preserve"> که در آیات آمده بود یا عمار در زمان خودش آن را اعمال کرد که در برابر کفار و مشرکین مکه مجبور شد کلمه کفر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 xml:space="preserve"> بر زبان جاری کند. یک نوع تقیه 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>نیز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 xml:space="preserve"> که بیشتر بین فقها مشهور است تقیه در برابر عامه و اهل سنت است. در روایات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نیز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 xml:space="preserve"> بیشتر این تقیه مطرح است. در قرآن آن تقیه در برابر کفار مطرح است. اما در روایات تقیه از نوع دوم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A6264E" w:rsidRPr="00E035A5" w:rsidRDefault="00A27386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>البته اختلافی هست که قاعده تقیه با شمولش فقط اخ</w:t>
      </w:r>
      <w:r w:rsidR="00A6264E" w:rsidRPr="00E035A5">
        <w:rPr>
          <w:rFonts w:ascii="IRBadr" w:hAnsi="IRBadr" w:cs="IRBadr"/>
          <w:sz w:val="28"/>
          <w:szCs w:val="28"/>
          <w:rtl/>
          <w:lang w:bidi="fa-IR"/>
        </w:rPr>
        <w:t>تصاص به تقیه در برابر عامه دارد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یا کفار را هم می‌گیرد</w:t>
      </w:r>
      <w:r w:rsidR="00A6264E" w:rsidRPr="00E035A5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A6264E" w:rsidRPr="00E035A5" w:rsidRDefault="00A6264E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ظاهر امر این است که هر دو را دربر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6264E" w:rsidRPr="00E035A5" w:rsidRDefault="00A27386" w:rsidP="00FC4A1F">
      <w:pPr>
        <w:pStyle w:val="Heading2"/>
        <w:rPr>
          <w:rFonts w:ascii="IRBadr" w:hAnsi="IRBadr" w:cs="IRBadr"/>
          <w:rtl/>
        </w:rPr>
      </w:pPr>
      <w:bookmarkStart w:id="10" w:name="_Toc426570928"/>
      <w:r w:rsidRPr="00E035A5">
        <w:rPr>
          <w:rFonts w:ascii="IRBadr" w:hAnsi="IRBadr" w:cs="IRBadr"/>
          <w:rtl/>
        </w:rPr>
        <w:t>تقیه خوفی و تقیه مداراتی</w:t>
      </w:r>
      <w:bookmarkEnd w:id="10"/>
    </w:p>
    <w:p w:rsidR="00A6264E" w:rsidRPr="00E035A5" w:rsidRDefault="00A6264E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تقیه گاهی از سر خوف است و فرد از اذیت یا آسیب عامه یا دیگری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می‌ترسد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و گاهی نیز </w:t>
      </w:r>
      <w:r w:rsidR="00E035A5">
        <w:rPr>
          <w:rFonts w:ascii="IRBadr" w:hAnsi="IRBadr" w:cs="IRBadr"/>
          <w:sz w:val="28"/>
          <w:szCs w:val="28"/>
          <w:rtl/>
          <w:lang w:bidi="fa-IR"/>
        </w:rPr>
        <w:t>بر سر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مدارا و برای حفظ وحدت بین مسلمین است.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هر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دو نوع از این انواع تقیه صحیح است و هر دو نیز در روایات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نوع اول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سیره‌هایی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از امام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صادق (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ع)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است که حضرت از خوف جان شریفشان،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مجبور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می‌شدند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>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هنگام روزه در نزد حاکم افطار کنند.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 xml:space="preserve">تقیه از عناوین ثانویه 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>حاکم بر ادله اولیه است.</w:t>
      </w:r>
    </w:p>
    <w:p w:rsidR="00A6264E" w:rsidRPr="00E035A5" w:rsidRDefault="00B63E76" w:rsidP="00FC4A1F">
      <w:pPr>
        <w:pStyle w:val="Heading2"/>
        <w:rPr>
          <w:rFonts w:ascii="IRBadr" w:hAnsi="IRBadr" w:cs="IRBadr"/>
          <w:rtl/>
        </w:rPr>
      </w:pPr>
      <w:bookmarkStart w:id="11" w:name="_Toc426570929"/>
      <w:r w:rsidRPr="00E035A5">
        <w:rPr>
          <w:rFonts w:ascii="IRBadr" w:hAnsi="IRBadr" w:cs="IRBadr"/>
          <w:rtl/>
        </w:rPr>
        <w:t>وجوب یا جواز تقیه</w:t>
      </w:r>
      <w:bookmarkEnd w:id="11"/>
    </w:p>
    <w:p w:rsidR="00B63E76" w:rsidRPr="00E035A5" w:rsidRDefault="00A27386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>آیا تقیه واجب است یا جایز است؟ این بحث مهمی است که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 xml:space="preserve"> در آن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اختلاف زیاد است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 xml:space="preserve">. مرحوم شیخ در بحث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تقیه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در مکاسب دارند که تقیه موصوف می‌شود به احکام خمسه، یعنی تقیه واجب و حر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>ام و مکروه و مستحب و مباح داریم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که این فرمایش ایشان محل بحث‌های زیادی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 xml:space="preserve"> آیا همه آن پنج قسم مصداق دارد؟</w:t>
      </w:r>
    </w:p>
    <w:p w:rsidR="00B63E76" w:rsidRPr="00E035A5" w:rsidRDefault="00A27386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نکته مهمی که وجود دارد این است که تقیه در مواردی که مصداق پیدا می‌کند واجب است یا جایز است؟ یعنی جایی که احتمال می‌دهد کشته بشود 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 xml:space="preserve">یا آبرویش برود، آنجا باید تقیه 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>کند یا جایز است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در قضیه عمار بود و آیه قرآن هم در آن دلالت می‌کند، آن جواز را می‌رساند.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 xml:space="preserve"> خود آیه و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هم‌شأن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 xml:space="preserve"> نزول دلالت بر این مطلب دارد.</w:t>
      </w:r>
    </w:p>
    <w:p w:rsidR="00B63E76" w:rsidRPr="00E035A5" w:rsidRDefault="00B63E76" w:rsidP="00FC4A1F">
      <w:pPr>
        <w:pStyle w:val="Heading2"/>
        <w:rPr>
          <w:rFonts w:ascii="IRBadr" w:hAnsi="IRBadr" w:cs="IRBadr"/>
          <w:rtl/>
        </w:rPr>
      </w:pPr>
      <w:bookmarkStart w:id="12" w:name="_Toc426570930"/>
      <w:r w:rsidRPr="00E035A5">
        <w:rPr>
          <w:rFonts w:ascii="IRBadr" w:hAnsi="IRBadr" w:cs="IRBadr"/>
          <w:rtl/>
        </w:rPr>
        <w:lastRenderedPageBreak/>
        <w:t>تقیه و احکام خمسه</w:t>
      </w:r>
      <w:bookmarkEnd w:id="12"/>
    </w:p>
    <w:p w:rsidR="00B63E76" w:rsidRPr="00E035A5" w:rsidRDefault="00B63E76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اما در برخی روایات است که وقتی یکی از شیعیان تقیه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نکرده‌اند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امام ناراحت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>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تشخیص این امر از پیچیدگی خاص خود برخوردار است. در 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 xml:space="preserve">بعضی موارد واقعاً تقیه حرام است، خود ائمه هم تقیه نمی‌کردند مثل امام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حسین (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>ع)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>، ولی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 xml:space="preserve"> مواردی تقیه قطعاً واجب است، و مواردی است که جایز است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63E76" w:rsidRPr="00E035A5" w:rsidRDefault="00A27386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روایات خیلی بحث پیچیده و دشواری دارد، به نظر می‌آید در مجموعه روایات هم نشود قاعده کلی داد که واجب یا جایز است. 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 xml:space="preserve">بلکه امر 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بیشتر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به رعای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>ت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اهم و مهم و تشخیص خود شخص مکلف، مثلاً 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>در همین س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اب النبی که مورد تقیه است، گاهی 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 xml:space="preserve">در شرایطی است که 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>اگر بخواهد بکشد، خودش کشته می‌شود یا کس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>ی دیگر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کشته 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>خواهد شد،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طبعاً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 xml:space="preserve"> در اینجا لازم است تقیه را در پیش گیرد.</w:t>
      </w:r>
    </w:p>
    <w:p w:rsidR="00B63E76" w:rsidRPr="00E035A5" w:rsidRDefault="00B63E76" w:rsidP="00FC4A1F">
      <w:pPr>
        <w:pStyle w:val="Heading2"/>
        <w:rPr>
          <w:rFonts w:ascii="IRBadr" w:hAnsi="IRBadr" w:cs="IRBadr"/>
          <w:rtl/>
        </w:rPr>
      </w:pPr>
      <w:bookmarkStart w:id="13" w:name="_Toc426570931"/>
      <w:r w:rsidRPr="00E035A5">
        <w:rPr>
          <w:rFonts w:ascii="IRBadr" w:hAnsi="IRBadr" w:cs="IRBadr"/>
          <w:rtl/>
        </w:rPr>
        <w:t>تقیه در کلمات علما</w:t>
      </w:r>
      <w:bookmarkEnd w:id="13"/>
    </w:p>
    <w:p w:rsidR="00B63E76" w:rsidRPr="00E035A5" w:rsidRDefault="00B63E76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در کلمات علما نیز این اختلاف دیده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>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به‌عنوان‌مثال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که ذکر شد،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متن تحریر در مواردی در حکم تقیه فرق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گذاشته‌شده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5027F5" w:rsidRPr="00E035A5" w:rsidRDefault="005027F5" w:rsidP="00FC4A1F">
      <w:pPr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«الأول- من سب النبی صلّی اللّه علیه و آله و العیاذ باللّه وجب علی سامعه قتله ما لم یخف علی نفسه أو عرضه أو نفس مؤمن أو عرضه، و معه لا یجوز، و لو خاف علی ماله المعتد به أو مال أخیه کذلک جاز ترک قتله،. و لا یتوقف ذلک علی إذن من الامام علیه السلام أو نائبه، و کذا الحال لو سب بعض الأئمة علیهم السلام، و فی إلحاق الصدیقة الطاهرة سلام اللّه علیها بهم وجه، بل لو رجع إلی سب النبی (ص) یقتل بلا إشکال.»</w:t>
      </w:r>
      <w:r w:rsidRPr="00E035A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6"/>
      </w:r>
    </w:p>
    <w:p w:rsidR="00B63E76" w:rsidRPr="00E035A5" w:rsidRDefault="00A27386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یعنی اگر خوف بر نفس یا عرض باشد، دیگر قتل جایز نیست. ولی مال 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 xml:space="preserve">فرق 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B63E76" w:rsidRPr="00E035A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63E76" w:rsidRPr="00E035A5" w:rsidRDefault="00B63E76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در نزد فقهای عامه ظاهر امر این است که سب را به بحث ارتداد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برمی‌گرداندند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>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در فقه شیعه سب النبی جایگاه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جداگانه‌ای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رادار است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448C4" w:rsidRPr="00E035A5" w:rsidRDefault="004448C4" w:rsidP="00FC4A1F">
      <w:pPr>
        <w:pStyle w:val="Heading2"/>
        <w:rPr>
          <w:rFonts w:ascii="IRBadr" w:hAnsi="IRBadr" w:cs="IRBadr"/>
          <w:rtl/>
        </w:rPr>
      </w:pPr>
      <w:bookmarkStart w:id="14" w:name="_Toc426570932"/>
      <w:r w:rsidRPr="00E035A5">
        <w:rPr>
          <w:rFonts w:ascii="IRBadr" w:hAnsi="IRBadr" w:cs="IRBadr"/>
          <w:rtl/>
        </w:rPr>
        <w:lastRenderedPageBreak/>
        <w:t>خوف خطر دیگری</w:t>
      </w:r>
      <w:bookmarkEnd w:id="14"/>
    </w:p>
    <w:p w:rsidR="004448C4" w:rsidRPr="00E035A5" w:rsidRDefault="004448C4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در روایات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که بیان شد،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خوف خطر برای دیگری نیز باشد،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نباید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قتل نسبت به ساب صورت پذیرد،</w:t>
      </w:r>
      <w:r w:rsidR="00FC4A1F" w:rsidRPr="00E035A5">
        <w:rPr>
          <w:rFonts w:ascii="IRBadr" w:hAnsi="IRBadr" w:cs="IRBadr"/>
          <w:sz w:val="28"/>
          <w:szCs w:val="28"/>
          <w:rtl/>
          <w:lang w:bidi="fa-IR"/>
        </w:rPr>
        <w:t xml:space="preserve"> همچنان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که در روایت سالم در جلد هیجده، ابواب حد قذف، باب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بیست‌وهفت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، حدیث اول، صفحه چهارصد و </w:t>
      </w:r>
      <w:r w:rsidR="00824C00" w:rsidRPr="00E035A5">
        <w:rPr>
          <w:rFonts w:ascii="IRBadr" w:hAnsi="IRBadr" w:cs="IRBadr"/>
          <w:sz w:val="28"/>
          <w:szCs w:val="28"/>
          <w:rtl/>
          <w:lang w:bidi="fa-IR"/>
        </w:rPr>
        <w:t>شصت‌ویک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هم ذکر شد که؛</w:t>
      </w:r>
    </w:p>
    <w:p w:rsidR="005027F5" w:rsidRPr="00E035A5" w:rsidRDefault="005027F5" w:rsidP="00FC4A1F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«عَنْهُ عَنْ عَلِ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الْحَ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مِ عَنْ هِشَامِ بْنِ سَالِمٍ قَالَ قُلْتُ لِأَبِ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مَا تَقُولُ فِ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سَبَّابَةٍ لِعَلِ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قَالَ فَقَالَ لِ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حَلَالُ الدَّمِ وَ اللَّهِ لَوْ لَا أَنْ 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غْمِزَ بَرِ</w:t>
      </w:r>
      <w:r w:rsidR="00FC4A1F"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035A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ئاً»</w:t>
      </w:r>
      <w:r w:rsidRPr="00E035A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7"/>
      </w:r>
    </w:p>
    <w:p w:rsidR="00A27386" w:rsidRPr="00E035A5" w:rsidRDefault="004448C4" w:rsidP="00FC4A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لذا 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>اگر اطم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>ینان دارد که دیگری کشته می‌شود ط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>بعاً نباید</w:t>
      </w:r>
      <w:r w:rsidRPr="00E035A5">
        <w:rPr>
          <w:rFonts w:ascii="IRBadr" w:hAnsi="IRBadr" w:cs="IRBadr"/>
          <w:sz w:val="28"/>
          <w:szCs w:val="28"/>
          <w:rtl/>
          <w:lang w:bidi="fa-IR"/>
        </w:rPr>
        <w:t xml:space="preserve"> ساب را</w:t>
      </w:r>
      <w:r w:rsidR="00A27386" w:rsidRPr="00E035A5">
        <w:rPr>
          <w:rFonts w:ascii="IRBadr" w:hAnsi="IRBadr" w:cs="IRBadr"/>
          <w:sz w:val="28"/>
          <w:szCs w:val="28"/>
          <w:rtl/>
          <w:lang w:bidi="fa-IR"/>
        </w:rPr>
        <w:t xml:space="preserve"> بکشد.</w:t>
      </w:r>
    </w:p>
    <w:p w:rsidR="00152670" w:rsidRPr="00E035A5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E035A5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C3D" w:rsidRDefault="00345C3D" w:rsidP="000D5800">
      <w:pPr>
        <w:spacing w:after="0" w:line="240" w:lineRule="auto"/>
      </w:pPr>
      <w:r>
        <w:separator/>
      </w:r>
    </w:p>
  </w:endnote>
  <w:endnote w:type="continuationSeparator" w:id="0">
    <w:p w:rsidR="00345C3D" w:rsidRDefault="00345C3D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C3D" w:rsidRDefault="00345C3D" w:rsidP="00971DA9">
      <w:pPr>
        <w:bidi/>
        <w:spacing w:after="0" w:line="240" w:lineRule="auto"/>
      </w:pPr>
      <w:r>
        <w:separator/>
      </w:r>
    </w:p>
  </w:footnote>
  <w:footnote w:type="continuationSeparator" w:id="0">
    <w:p w:rsidR="00345C3D" w:rsidRDefault="00345C3D" w:rsidP="000D5800">
      <w:pPr>
        <w:spacing w:after="0" w:line="240" w:lineRule="auto"/>
      </w:pPr>
      <w:r>
        <w:continuationSeparator/>
      </w:r>
    </w:p>
  </w:footnote>
  <w:footnote w:id="1">
    <w:p w:rsidR="00BF65E7" w:rsidRPr="00BF65E7" w:rsidRDefault="00BF65E7">
      <w:pPr>
        <w:pStyle w:val="FootnoteText"/>
        <w:rPr>
          <w:rFonts w:cs="B Badr"/>
        </w:rPr>
      </w:pPr>
      <w:r w:rsidRPr="00BF65E7">
        <w:rPr>
          <w:rStyle w:val="FootnoteReference"/>
          <w:rFonts w:cs="B Badr"/>
        </w:rPr>
        <w:footnoteRef/>
      </w:r>
      <w:r w:rsidRPr="00BF65E7">
        <w:rPr>
          <w:rFonts w:cs="B Badr"/>
          <w:rtl/>
        </w:rPr>
        <w:t xml:space="preserve"> </w:t>
      </w:r>
      <w:r w:rsidRPr="00BF65E7">
        <w:rPr>
          <w:rFonts w:cs="B Badr" w:hint="cs"/>
          <w:rtl/>
        </w:rPr>
        <w:t>28/</w:t>
      </w:r>
      <w:r w:rsidR="00824C00">
        <w:rPr>
          <w:rFonts w:cs="B Badr" w:hint="eastAsia"/>
          <w:rtl/>
        </w:rPr>
        <w:t>آل‌عمران</w:t>
      </w:r>
    </w:p>
  </w:footnote>
  <w:footnote w:id="2">
    <w:p w:rsidR="00BF65E7" w:rsidRPr="00BF65E7" w:rsidRDefault="00BF65E7">
      <w:pPr>
        <w:pStyle w:val="FootnoteText"/>
        <w:rPr>
          <w:rFonts w:cs="B Badr"/>
        </w:rPr>
      </w:pPr>
      <w:r w:rsidRPr="00BF65E7">
        <w:rPr>
          <w:rStyle w:val="FootnoteReference"/>
          <w:rFonts w:cs="B Badr"/>
        </w:rPr>
        <w:footnoteRef/>
      </w:r>
      <w:r w:rsidRPr="00BF65E7">
        <w:rPr>
          <w:rFonts w:cs="B Badr"/>
          <w:rtl/>
        </w:rPr>
        <w:t xml:space="preserve"> </w:t>
      </w:r>
      <w:r w:rsidRPr="00BF65E7">
        <w:rPr>
          <w:rFonts w:cs="B Badr" w:hint="cs"/>
          <w:rtl/>
        </w:rPr>
        <w:t>106/نحل</w:t>
      </w:r>
    </w:p>
  </w:footnote>
  <w:footnote w:id="3">
    <w:p w:rsidR="00BF65E7" w:rsidRDefault="00BF65E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F65E7">
        <w:rPr>
          <w:rFonts w:ascii="Noor_Titr" w:hAnsi="Noor_Titr" w:cs="B Badr" w:hint="cs"/>
          <w:color w:val="000000" w:themeColor="text1"/>
          <w:rtl/>
        </w:rPr>
        <w:t>ال</w:t>
      </w:r>
      <w:r w:rsidR="00FC4A1F">
        <w:rPr>
          <w:rFonts w:ascii="Noor_Titr" w:hAnsi="Noor_Titr" w:cs="B Badr" w:hint="cs"/>
          <w:color w:val="000000" w:themeColor="text1"/>
          <w:rtl/>
        </w:rPr>
        <w:t>ک</w:t>
      </w:r>
      <w:r w:rsidRPr="00BF65E7">
        <w:rPr>
          <w:rFonts w:ascii="Noor_Titr" w:hAnsi="Noor_Titr" w:cs="B Badr" w:hint="cs"/>
          <w:color w:val="000000" w:themeColor="text1"/>
          <w:rtl/>
        </w:rPr>
        <w:t>اف</w:t>
      </w:r>
      <w:r w:rsidR="00FC4A1F">
        <w:rPr>
          <w:rFonts w:ascii="Noor_Titr" w:hAnsi="Noor_Titr" w:cs="B Badr" w:hint="cs"/>
          <w:color w:val="000000" w:themeColor="text1"/>
          <w:rtl/>
        </w:rPr>
        <w:t>ی</w:t>
      </w:r>
      <w:r w:rsidRPr="00BF65E7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FC4A1F">
        <w:rPr>
          <w:rFonts w:ascii="Noor_Titr" w:hAnsi="Noor_Titr" w:cs="B Badr" w:hint="cs"/>
          <w:color w:val="000000" w:themeColor="text1"/>
          <w:rtl/>
        </w:rPr>
        <w:t>ی</w:t>
      </w:r>
      <w:r w:rsidRPr="00BF65E7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FC4A1F">
        <w:rPr>
          <w:rFonts w:ascii="Noor_Titr" w:hAnsi="Noor_Titr" w:cs="B Badr"/>
          <w:color w:val="000000" w:themeColor="text1"/>
          <w:rtl/>
        </w:rPr>
        <w:t>ج 2</w:t>
      </w:r>
      <w:r w:rsidRPr="00BF65E7">
        <w:rPr>
          <w:rFonts w:ascii="Noor_Titr" w:hAnsi="Noor_Titr" w:cs="B Badr" w:hint="cs"/>
          <w:color w:val="000000" w:themeColor="text1"/>
          <w:rtl/>
        </w:rPr>
        <w:t>، ص: 217</w:t>
      </w:r>
    </w:p>
  </w:footnote>
  <w:footnote w:id="4">
    <w:p w:rsidR="00BF65E7" w:rsidRDefault="00BF65E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F65E7">
        <w:rPr>
          <w:rFonts w:ascii="Noor_Titr" w:hAnsi="Noor_Titr" w:cs="B Badr" w:hint="cs"/>
          <w:color w:val="000000" w:themeColor="text1"/>
          <w:rtl/>
        </w:rPr>
        <w:t>وسائل الش</w:t>
      </w:r>
      <w:r w:rsidR="00FC4A1F">
        <w:rPr>
          <w:rFonts w:ascii="Noor_Titr" w:hAnsi="Noor_Titr" w:cs="B Badr" w:hint="cs"/>
          <w:color w:val="000000" w:themeColor="text1"/>
          <w:rtl/>
        </w:rPr>
        <w:t>ی</w:t>
      </w:r>
      <w:r w:rsidRPr="00BF65E7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FC4A1F">
        <w:rPr>
          <w:rFonts w:ascii="Noor_Titr" w:hAnsi="Noor_Titr" w:cs="B Badr"/>
          <w:color w:val="000000" w:themeColor="text1"/>
          <w:rtl/>
        </w:rPr>
        <w:t>ج 16</w:t>
      </w:r>
      <w:r w:rsidRPr="00BF65E7">
        <w:rPr>
          <w:rFonts w:ascii="Noor_Titr" w:hAnsi="Noor_Titr" w:cs="B Badr" w:hint="cs"/>
          <w:color w:val="000000" w:themeColor="text1"/>
          <w:rtl/>
        </w:rPr>
        <w:t>، ص: 210</w:t>
      </w:r>
    </w:p>
  </w:footnote>
  <w:footnote w:id="5">
    <w:p w:rsidR="00BF65E7" w:rsidRDefault="00BF65E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F65E7">
        <w:rPr>
          <w:rFonts w:ascii="Noor_Titr" w:hAnsi="Noor_Titr" w:cs="B Badr" w:hint="cs"/>
          <w:color w:val="000000" w:themeColor="text1"/>
          <w:rtl/>
        </w:rPr>
        <w:t>ال</w:t>
      </w:r>
      <w:r w:rsidR="00FC4A1F">
        <w:rPr>
          <w:rFonts w:ascii="Noor_Titr" w:hAnsi="Noor_Titr" w:cs="B Badr" w:hint="cs"/>
          <w:color w:val="000000" w:themeColor="text1"/>
          <w:rtl/>
        </w:rPr>
        <w:t>ک</w:t>
      </w:r>
      <w:r w:rsidRPr="00BF65E7">
        <w:rPr>
          <w:rFonts w:ascii="Noor_Titr" w:hAnsi="Noor_Titr" w:cs="B Badr" w:hint="cs"/>
          <w:color w:val="000000" w:themeColor="text1"/>
          <w:rtl/>
        </w:rPr>
        <w:t>اف</w:t>
      </w:r>
      <w:r w:rsidR="00FC4A1F">
        <w:rPr>
          <w:rFonts w:ascii="Noor_Titr" w:hAnsi="Noor_Titr" w:cs="B Badr" w:hint="cs"/>
          <w:color w:val="000000" w:themeColor="text1"/>
          <w:rtl/>
        </w:rPr>
        <w:t>ی</w:t>
      </w:r>
      <w:r w:rsidRPr="00BF65E7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FC4A1F">
        <w:rPr>
          <w:rFonts w:ascii="Noor_Titr" w:hAnsi="Noor_Titr" w:cs="B Badr" w:hint="cs"/>
          <w:color w:val="000000" w:themeColor="text1"/>
          <w:rtl/>
        </w:rPr>
        <w:t>ی</w:t>
      </w:r>
      <w:r w:rsidRPr="00BF65E7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FC4A1F">
        <w:rPr>
          <w:rFonts w:ascii="Noor_Titr" w:hAnsi="Noor_Titr" w:cs="B Badr"/>
          <w:color w:val="000000" w:themeColor="text1"/>
          <w:rtl/>
        </w:rPr>
        <w:t>ج 2</w:t>
      </w:r>
      <w:r w:rsidRPr="00BF65E7">
        <w:rPr>
          <w:rFonts w:ascii="Noor_Titr" w:hAnsi="Noor_Titr" w:cs="B Badr" w:hint="cs"/>
          <w:color w:val="000000" w:themeColor="text1"/>
          <w:rtl/>
        </w:rPr>
        <w:t>، ص: 220</w:t>
      </w:r>
    </w:p>
  </w:footnote>
  <w:footnote w:id="6">
    <w:p w:rsidR="005027F5" w:rsidRDefault="005027F5" w:rsidP="005027F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192BE2">
        <w:rPr>
          <w:rFonts w:ascii="Noor_Titr" w:hAnsi="Noor_Titr" w:cs="B Badr" w:hint="cs"/>
          <w:color w:val="000000" w:themeColor="text1"/>
          <w:rtl/>
        </w:rPr>
        <w:t>تحر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192BE2">
        <w:rPr>
          <w:rFonts w:ascii="Noor_Titr" w:hAnsi="Noor_Titr" w:cs="B Badr" w:hint="cs"/>
          <w:color w:val="000000" w:themeColor="text1"/>
          <w:rtl/>
        </w:rPr>
        <w:t>ر الوس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192BE2">
        <w:rPr>
          <w:rFonts w:ascii="Noor_Titr" w:hAnsi="Noor_Titr" w:cs="B Badr" w:hint="cs"/>
          <w:color w:val="000000" w:themeColor="text1"/>
          <w:rtl/>
        </w:rPr>
        <w:t xml:space="preserve">لة؛ </w:t>
      </w:r>
      <w:r>
        <w:rPr>
          <w:rFonts w:ascii="Noor_Titr" w:hAnsi="Noor_Titr" w:cs="B Badr"/>
          <w:color w:val="000000" w:themeColor="text1"/>
          <w:rtl/>
        </w:rPr>
        <w:t>ج 2</w:t>
      </w:r>
      <w:r w:rsidRPr="00192BE2">
        <w:rPr>
          <w:rFonts w:ascii="Noor_Titr" w:hAnsi="Noor_Titr" w:cs="B Badr" w:hint="cs"/>
          <w:color w:val="000000" w:themeColor="text1"/>
          <w:rtl/>
        </w:rPr>
        <w:t>، ص: 476</w:t>
      </w:r>
    </w:p>
  </w:footnote>
  <w:footnote w:id="7">
    <w:p w:rsidR="005027F5" w:rsidRDefault="005027F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027F5">
        <w:rPr>
          <w:rFonts w:ascii="Noor_Titr" w:hAnsi="Noor_Titr" w:cs="B Badr" w:hint="cs"/>
          <w:color w:val="000000" w:themeColor="text1"/>
          <w:rtl/>
        </w:rPr>
        <w:t>تهذ</w:t>
      </w:r>
      <w:r w:rsidR="00FC4A1F">
        <w:rPr>
          <w:rFonts w:ascii="Noor_Titr" w:hAnsi="Noor_Titr" w:cs="B Badr" w:hint="cs"/>
          <w:color w:val="000000" w:themeColor="text1"/>
          <w:rtl/>
        </w:rPr>
        <w:t>ی</w:t>
      </w:r>
      <w:r w:rsidRPr="005027F5">
        <w:rPr>
          <w:rFonts w:ascii="Noor_Titr" w:hAnsi="Noor_Titr" w:cs="B Badr" w:hint="cs"/>
          <w:color w:val="000000" w:themeColor="text1"/>
          <w:rtl/>
        </w:rPr>
        <w:t>ب الأح</w:t>
      </w:r>
      <w:r w:rsidR="00FC4A1F">
        <w:rPr>
          <w:rFonts w:ascii="Noor_Titr" w:hAnsi="Noor_Titr" w:cs="B Badr" w:hint="cs"/>
          <w:color w:val="000000" w:themeColor="text1"/>
          <w:rtl/>
        </w:rPr>
        <w:t>ک</w:t>
      </w:r>
      <w:r w:rsidRPr="005027F5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FC4A1F">
        <w:rPr>
          <w:rFonts w:ascii="Noor_Titr" w:hAnsi="Noor_Titr" w:cs="B Badr"/>
          <w:color w:val="000000" w:themeColor="text1"/>
          <w:rtl/>
        </w:rPr>
        <w:t>ج 10</w:t>
      </w:r>
      <w:r w:rsidRPr="005027F5">
        <w:rPr>
          <w:rFonts w:ascii="Noor_Titr" w:hAnsi="Noor_Titr" w:cs="B Badr" w:hint="cs"/>
          <w:color w:val="000000" w:themeColor="text1"/>
          <w:rtl/>
        </w:rPr>
        <w:t>، ص: 86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A27386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20131D4" wp14:editId="32E1885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529C453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  <w:lang w:bidi="fa-IR"/>
      </w:rPr>
      <w:drawing>
        <wp:inline distT="0" distB="0" distL="0" distR="0" wp14:anchorId="1137D12A" wp14:editId="255FF926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FC4A1F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A27386">
      <w:rPr>
        <w:rFonts w:ascii="IranNastaliq" w:hAnsi="IranNastaliq" w:cs="IranNastaliq" w:hint="cs"/>
        <w:sz w:val="40"/>
        <w:szCs w:val="40"/>
        <w:rtl/>
      </w:rPr>
      <w:t>818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386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45C3D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48C4"/>
    <w:rsid w:val="0044591E"/>
    <w:rsid w:val="00464410"/>
    <w:rsid w:val="004651D2"/>
    <w:rsid w:val="00465D26"/>
    <w:rsid w:val="004668B9"/>
    <w:rsid w:val="004679F8"/>
    <w:rsid w:val="004B337F"/>
    <w:rsid w:val="004F3596"/>
    <w:rsid w:val="005027F5"/>
    <w:rsid w:val="00572E2D"/>
    <w:rsid w:val="00592103"/>
    <w:rsid w:val="005941DD"/>
    <w:rsid w:val="005A545E"/>
    <w:rsid w:val="005A5862"/>
    <w:rsid w:val="005B0852"/>
    <w:rsid w:val="005B2C57"/>
    <w:rsid w:val="005C06AE"/>
    <w:rsid w:val="00610C18"/>
    <w:rsid w:val="00612385"/>
    <w:rsid w:val="0061376C"/>
    <w:rsid w:val="00636EFA"/>
    <w:rsid w:val="0066229C"/>
    <w:rsid w:val="0069696C"/>
    <w:rsid w:val="006A085A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2395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24C00"/>
    <w:rsid w:val="008407A4"/>
    <w:rsid w:val="00844860"/>
    <w:rsid w:val="00845CC4"/>
    <w:rsid w:val="008644F4"/>
    <w:rsid w:val="00883607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71DA9"/>
    <w:rsid w:val="00980643"/>
    <w:rsid w:val="009B46BC"/>
    <w:rsid w:val="009B61C3"/>
    <w:rsid w:val="009C7B4F"/>
    <w:rsid w:val="009F4EB3"/>
    <w:rsid w:val="00A06D48"/>
    <w:rsid w:val="00A21834"/>
    <w:rsid w:val="00A27386"/>
    <w:rsid w:val="00A31C17"/>
    <w:rsid w:val="00A31FDE"/>
    <w:rsid w:val="00A35AC2"/>
    <w:rsid w:val="00A37C77"/>
    <w:rsid w:val="00A5418D"/>
    <w:rsid w:val="00A6264E"/>
    <w:rsid w:val="00A725C2"/>
    <w:rsid w:val="00A769EE"/>
    <w:rsid w:val="00A810A5"/>
    <w:rsid w:val="00A9616A"/>
    <w:rsid w:val="00A96F68"/>
    <w:rsid w:val="00AA2342"/>
    <w:rsid w:val="00AD0304"/>
    <w:rsid w:val="00AD27BE"/>
    <w:rsid w:val="00AE6B86"/>
    <w:rsid w:val="00AF0F1A"/>
    <w:rsid w:val="00B15027"/>
    <w:rsid w:val="00B21CF4"/>
    <w:rsid w:val="00B24300"/>
    <w:rsid w:val="00B63E76"/>
    <w:rsid w:val="00B63F15"/>
    <w:rsid w:val="00B8523A"/>
    <w:rsid w:val="00BB5F7E"/>
    <w:rsid w:val="00BC26F6"/>
    <w:rsid w:val="00BC4833"/>
    <w:rsid w:val="00BD3122"/>
    <w:rsid w:val="00BD40DA"/>
    <w:rsid w:val="00BF3D67"/>
    <w:rsid w:val="00BF65E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A5ACE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46A0"/>
    <w:rsid w:val="00D76353"/>
    <w:rsid w:val="00DB28BB"/>
    <w:rsid w:val="00DC603F"/>
    <w:rsid w:val="00DD3C0D"/>
    <w:rsid w:val="00DD4864"/>
    <w:rsid w:val="00DD71A2"/>
    <w:rsid w:val="00DE1DC4"/>
    <w:rsid w:val="00E035A5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1F22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4A1F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2738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F65E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F6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Hyperlink">
    <w:name w:val="Hyperlink"/>
    <w:basedOn w:val="DefaultParagraphFont"/>
    <w:uiPriority w:val="99"/>
    <w:unhideWhenUsed/>
    <w:rsid w:val="00971D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2738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F65E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F6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Hyperlink">
    <w:name w:val="Hyperlink"/>
    <w:basedOn w:val="DefaultParagraphFont"/>
    <w:uiPriority w:val="99"/>
    <w:unhideWhenUsed/>
    <w:rsid w:val="00971D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9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9ADD2-BC14-460B-8990-5ED4CB3A9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68</TotalTime>
  <Pages>6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15</cp:revision>
  <dcterms:created xsi:type="dcterms:W3CDTF">2014-12-22T04:06:00Z</dcterms:created>
  <dcterms:modified xsi:type="dcterms:W3CDTF">2015-07-28T16:43:00Z</dcterms:modified>
</cp:coreProperties>
</file>